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line="259" w:lineRule="auto"/>
        <w:ind w:left="180"/>
      </w:pPr>
    </w:p>
    <w:tbl>
      <w:tblPr>
        <w:tblStyle w:val="TableGrid"/>
        <w:tblW w:w="14769" w:type="dxa"/>
        <w:tblInd w:w="-142" w:type="dxa"/>
        <w:tblLook w:val="04A0" w:firstRow="1" w:lastRow="0" w:firstColumn="1" w:lastColumn="0" w:noHBand="0" w:noVBand="1"/>
      </w:tblPr>
      <w:tblGrid>
        <w:gridCol w:w="3922"/>
        <w:gridCol w:w="10847"/>
      </w:tblGrid>
      <w:tr>
        <w:trPr>
          <w:trHeight w:val="6070"/>
        </w:trPr>
        <w:tc>
          <w:tcPr>
            <w:tcW w:w="392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3572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3577"/>
            </w:tblGrid>
            <w:tr>
              <w:trPr>
                <w:trHeight w:val="6510"/>
              </w:trPr>
              <w:tc>
                <w:tcPr>
                  <w:tcW w:w="35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after="2309"/>
                    <w:ind w:left="70" w:right="53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Direction du Patrimoine des Investissements Médicaux et de la Sécurité</w:t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rPr>
                      <w:b/>
                      <w:i/>
                    </w:rPr>
                    <w:t xml:space="preserve">Département Travaux  </w:t>
                  </w:r>
                </w:p>
                <w:p>
                  <w:pPr>
                    <w:spacing w:line="259" w:lineRule="auto"/>
                    <w:ind w:left="18"/>
                    <w:jc w:val="center"/>
                  </w:pPr>
                  <w:proofErr w:type="gramStart"/>
                  <w:r>
                    <w:rPr>
                      <w:b/>
                      <w:i/>
                    </w:rPr>
                    <w:t>et</w:t>
                  </w:r>
                  <w:proofErr w:type="gramEnd"/>
                  <w:r>
                    <w:rPr>
                      <w:b/>
                      <w:i/>
                    </w:rPr>
                    <w:t xml:space="preserve"> Sécurité</w:t>
                  </w:r>
                  <w:r>
                    <w:rPr>
                      <w:b/>
                    </w:rP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</w:rPr>
                  </w:pP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20"/>
                    <w:jc w:val="center"/>
                  </w:pPr>
                  <w:r>
                    <w:t xml:space="preserve">3 Boulevard Fleming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Tél. 03 81 21 80 77 </w:t>
                  </w:r>
                </w:p>
                <w:p>
                  <w:pPr>
                    <w:spacing w:after="447"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 </w:t>
                  </w:r>
                </w:p>
                <w:p>
                  <w:pPr>
                    <w:spacing w:line="259" w:lineRule="auto"/>
                    <w:ind w:left="17"/>
                    <w:jc w:val="center"/>
                  </w:pPr>
                  <w:r>
                    <w:rPr>
                      <w:b/>
                    </w:rPr>
                    <w:t xml:space="preserve">CHU DE BESANCON </w:t>
                  </w:r>
                </w:p>
                <w:p>
                  <w:pPr>
                    <w:spacing w:line="259" w:lineRule="auto"/>
                    <w:ind w:left="68"/>
                    <w:jc w:val="center"/>
                  </w:pPr>
                  <w: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  <w:r>
              <w:t xml:space="preserve"> </w:t>
            </w:r>
          </w:p>
        </w:tc>
        <w:tc>
          <w:tcPr>
            <w:tcW w:w="108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995" w:tblpY="974"/>
              <w:tblOverlap w:val="never"/>
              <w:tblW w:w="5003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03"/>
            </w:tblGrid>
            <w:tr>
              <w:trPr>
                <w:trHeight w:val="7308"/>
              </w:trPr>
              <w:tc>
                <w:tcPr>
                  <w:tcW w:w="5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</w:pPr>
                </w:p>
                <w:p>
                  <w:pPr>
                    <w:spacing w:line="259" w:lineRule="auto"/>
                  </w:pPr>
                </w:p>
                <w:p>
                  <w:pPr>
                    <w:spacing w:line="259" w:lineRule="auto"/>
                  </w:pPr>
                </w:p>
                <w:p>
                  <w:pPr>
                    <w:spacing w:line="276" w:lineRule="auto"/>
                    <w:ind w:left="11"/>
                    <w:jc w:val="center"/>
                  </w:pPr>
                </w:p>
                <w:p>
                  <w:pPr>
                    <w:spacing w:line="276" w:lineRule="auto"/>
                    <w:ind w:left="11"/>
                    <w:jc w:val="center"/>
                    <w:rPr>
                      <w:b/>
                    </w:rPr>
                  </w:pPr>
                  <w:r>
                    <w:t xml:space="preserve"> </w:t>
                  </w:r>
                  <w:r>
                    <w:rPr>
                      <w:b/>
                      <w:sz w:val="28"/>
                    </w:rPr>
                    <w:t>TRAVAUX POUR L’OPERATION DE RELOCALISATION DE SERVICES AU CENTRE HOSPITALIER UNIVERSITAIRE DE BESANÇON</w:t>
                  </w:r>
                </w:p>
                <w:p>
                  <w:pPr>
                    <w:spacing w:line="259" w:lineRule="auto"/>
                    <w:ind w:left="75"/>
                    <w:jc w:val="center"/>
                  </w:pPr>
                  <w:r>
                    <w:rPr>
                      <w:b/>
                      <w:sz w:val="28"/>
                    </w:rPr>
                    <w:t xml:space="preserve"> </w:t>
                  </w:r>
                </w:p>
                <w:p>
                  <w:pPr>
                    <w:spacing w:after="20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ACTE D’ENGAGEMENT (AE)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  <w:r>
        <w:t xml:space="preserve"> </w: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00" w:line="240" w:lineRule="exact"/>
      </w:pPr>
    </w:p>
    <w:p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19745009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Préambule : Liste des lots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_Toc197450099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0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_Toc197450100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0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_Toc197450101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0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_Toc197450102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0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4.1 -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_Toc197450103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0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_Toc197450104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0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_Toc197450105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0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_Toc197450106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0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_Toc197450107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0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_Toc197450108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0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_Toc197450109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1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_Toc197450110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1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10 -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_Toc197450111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745011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_Toc197450112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11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1"/>
      <w:bookmarkStart w:id="1" w:name="_Toc197450099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Préambule : Liste des lots</w:t>
      </w:r>
      <w:bookmarkEnd w:id="1"/>
    </w:p>
    <w:p>
      <w:pPr>
        <w:spacing w:line="60" w:lineRule="exact"/>
        <w:rPr>
          <w:sz w:val="6"/>
        </w:rPr>
      </w:pPr>
      <w:r>
        <w:t xml:space="preserve"> </w:t>
      </w:r>
    </w:p>
    <w:p/>
    <w:tbl>
      <w:tblPr>
        <w:tblW w:w="1001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3289"/>
        <w:gridCol w:w="1565"/>
        <w:gridCol w:w="4386"/>
      </w:tblGrid>
      <w:tr>
        <w:trPr>
          <w:trHeight w:val="290"/>
          <w:jc w:val="center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lang w:val="fr-FR" w:eastAsia="fr-FR"/>
              </w:rPr>
              <w:t>N°</w:t>
            </w: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lang w:val="fr-FR" w:eastAsia="fr-FR"/>
              </w:rPr>
              <w:t>NOM DE LOT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lang w:val="fr-FR" w:eastAsia="fr-FR"/>
              </w:rPr>
              <w:t>NUMERO SOUS-LOT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lang w:val="fr-FR" w:eastAsia="fr-FR"/>
              </w:rPr>
              <w:t>PRESTATIONS</w:t>
            </w:r>
          </w:p>
        </w:tc>
      </w:tr>
      <w:tr>
        <w:trPr>
          <w:trHeight w:val="290"/>
          <w:jc w:val="center"/>
        </w:trPr>
        <w:tc>
          <w:tcPr>
            <w:tcW w:w="77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0"/>
                <w:lang w:val="fr-FR" w:eastAsia="fr-FR"/>
              </w:rPr>
              <w:t>1</w:t>
            </w:r>
          </w:p>
        </w:tc>
        <w:tc>
          <w:tcPr>
            <w:tcW w:w="328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0"/>
                <w:lang w:val="fr-FR" w:eastAsia="fr-FR"/>
              </w:rPr>
              <w:t>CLOS-COUVERTS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0"/>
                <w:lang w:val="fr-FR" w:eastAsia="fr-FR"/>
              </w:rPr>
              <w:t>1.1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0"/>
                <w:lang w:val="fr-FR" w:eastAsia="fr-FR"/>
              </w:rPr>
              <w:t>STRUCTURE</w:t>
            </w:r>
          </w:p>
        </w:tc>
      </w:tr>
      <w:tr>
        <w:trPr>
          <w:trHeight w:val="290"/>
          <w:jc w:val="center"/>
        </w:trPr>
        <w:tc>
          <w:tcPr>
            <w:tcW w:w="7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</w:p>
        </w:tc>
        <w:tc>
          <w:tcPr>
            <w:tcW w:w="328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0"/>
                <w:lang w:val="fr-FR" w:eastAsia="fr-FR"/>
              </w:rPr>
              <w:t>1.2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0"/>
                <w:lang w:val="fr-FR" w:eastAsia="fr-FR"/>
              </w:rPr>
              <w:t>ETANCHEITE - COUVERTURE</w:t>
            </w:r>
          </w:p>
        </w:tc>
      </w:tr>
      <w:tr>
        <w:trPr>
          <w:trHeight w:val="290"/>
          <w:jc w:val="center"/>
        </w:trPr>
        <w:tc>
          <w:tcPr>
            <w:tcW w:w="7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</w:p>
        </w:tc>
        <w:tc>
          <w:tcPr>
            <w:tcW w:w="328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>
            <w:pPr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0"/>
                <w:lang w:val="fr-FR" w:eastAsia="fr-FR"/>
              </w:rPr>
              <w:t>1.3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color w:val="212121"/>
                <w:sz w:val="20"/>
                <w:lang w:val="fr-FR" w:eastAsia="fr-FR"/>
              </w:rPr>
            </w:pPr>
            <w:r>
              <w:rPr>
                <w:rFonts w:ascii="Calibri" w:hAnsi="Calibri" w:cs="Calibri"/>
                <w:color w:val="000000"/>
                <w:sz w:val="20"/>
                <w:lang w:val="fr-FR" w:eastAsia="fr-FR"/>
              </w:rPr>
              <w:t>MENUISERIES EXTERIEURES ALU</w:t>
            </w:r>
          </w:p>
        </w:tc>
      </w:tr>
    </w:tbl>
    <w:p>
      <w:pPr>
        <w:rPr>
          <w:rFonts w:ascii="Calibri" w:hAnsi="Calibri" w:cs="Calibri"/>
          <w:color w:val="000000"/>
          <w:sz w:val="20"/>
          <w:lang w:val="fr-FR" w:eastAsia="fr-FR"/>
        </w:rPr>
      </w:pPr>
    </w:p>
    <w:p/>
    <w:p/>
    <w:p/>
    <w:p/>
    <w:p>
      <w:pPr>
        <w:sectPr>
          <w:footerReference w:type="default" r:id="rId7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" w:name="ArtL1_AE-3-A2"/>
      <w:bookmarkStart w:id="3" w:name="_Toc197450100"/>
      <w:bookmarkEnd w:id="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2 - Identification de l'acheteur</w:t>
      </w:r>
      <w:bookmarkEnd w:id="3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4" w:name="ArtL1_AE-3-A3"/>
      <w:bookmarkStart w:id="5" w:name="_Toc197450101"/>
      <w:bookmarkEnd w:id="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3 - Identification du co-contractant</w:t>
      </w:r>
      <w:bookmarkEnd w:id="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  <w:p>
            <w:pPr>
              <w:rPr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  <w:p>
            <w:pPr>
              <w:rPr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28" name="Imag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sur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la base de son offre ;</w:t>
            </w:r>
          </w:p>
          <w:p>
            <w:pPr>
              <w:rPr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9"/>
          <w:pgSz w:w="11900" w:h="16840"/>
          <w:pgMar w:top="820" w:right="1140" w:bottom="580" w:left="1140" w:header="82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  <w:p>
            <w:pPr>
              <w:rPr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6" w:name="ArtL1_AE-3-A4"/>
      <w:bookmarkStart w:id="7" w:name="_Toc197450102"/>
      <w:bookmarkEnd w:id="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4 - Dispositions générales</w:t>
      </w:r>
      <w:bookmarkEnd w:id="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8" w:name="ArtL2_AE-3-A4.1"/>
      <w:bookmarkStart w:id="9" w:name="_Toc197450103"/>
      <w:bookmarkEnd w:id="8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4.1 - Objet</w:t>
      </w:r>
      <w:bookmarkEnd w:id="9"/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Des travaux tout corps d’état (TCE) pour l’opération de relocalisation des services suivants sur le CHU de Besançon :</w:t>
      </w:r>
    </w:p>
    <w:p>
      <w:pPr>
        <w:rPr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- SS1 : Unité de Chirurgie Ambulatoire</w:t>
      </w:r>
    </w:p>
    <w:p>
      <w:pPr>
        <w:rPr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- SS2 : Service d’exploration du sommeil et EEG</w:t>
      </w:r>
    </w:p>
    <w:p>
      <w:pPr>
        <w:rPr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- SS2 : Service de radiothérapie Interne Vectorisée (RIV)</w:t>
      </w:r>
    </w:p>
    <w:p>
      <w:pPr>
        <w:rPr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- SS2 : Institut médico-légal (IML)</w:t>
      </w:r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définies au CCAP sont réparties en 7 lots.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0" w:name="ArtL2_AE-3-A4.2"/>
      <w:bookmarkStart w:id="11" w:name="_Toc197450104"/>
      <w:bookmarkEnd w:id="10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lastRenderedPageBreak/>
        <w:t>4.2 - Mode de passation</w:t>
      </w:r>
      <w:bookmarkEnd w:id="11"/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>
      <w:pPr>
        <w:rPr>
          <w:lang w:val="fr-FR"/>
        </w:rPr>
      </w:pP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2" w:name="ArtL2_AE-3-A4.3"/>
      <w:bookmarkStart w:id="13" w:name="_Toc197450105"/>
      <w:bookmarkEnd w:id="12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4.3 - Forme de contrat</w:t>
      </w:r>
      <w:bookmarkEnd w:id="13"/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4" w:name="ArtL1_AE-3-A5"/>
      <w:bookmarkStart w:id="15" w:name="_Toc197450106"/>
      <w:bookmarkEnd w:id="1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5 - Prix</w:t>
      </w:r>
      <w:bookmarkEnd w:id="1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seront rémunérées par application du prix global forfaitaire suivant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b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Pour la solution de base :</w:t>
      </w:r>
    </w:p>
    <w:p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de l'offre </w:t>
            </w:r>
          </w:p>
        </w:tc>
      </w:tr>
      <w:tr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Soit en toutes lettres TTC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CLOS-COUVERTS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Pour les Tranches conditionnelle :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90"/>
        <w:gridCol w:w="1890"/>
        <w:gridCol w:w="1200"/>
        <w:gridCol w:w="1200"/>
        <w:gridCol w:w="1200"/>
        <w:gridCol w:w="312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de l'offre </w:t>
            </w:r>
          </w:p>
        </w:tc>
      </w:tr>
      <w:tr>
        <w:trPr>
          <w:trHeight w:val="454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Tranches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Soit en toutes lettres TTC</w:t>
            </w:r>
          </w:p>
        </w:tc>
      </w:tr>
      <w:tr>
        <w:trPr>
          <w:trHeight w:val="346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TC1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Châssis type 9 plombé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400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TC2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6"/>
                <w:szCs w:val="26"/>
                <w:lang w:val="fr-FR"/>
              </w:rPr>
              <w:t>Châssis type 10 plombé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400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TC3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6"/>
                <w:szCs w:val="26"/>
                <w:lang w:val="fr-FR"/>
              </w:rPr>
              <w:t>Châssis type 11 plombé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6" w:name="ArtL1_AE-3-A6"/>
      <w:bookmarkStart w:id="17" w:name="_Toc197450107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Durée et Délais d'exécution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est défini(e) au CCAP et ne peut en aucun cas être modifié(e).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débutera à compter de la date fixée dans le CCAP.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8"/>
      <w:bookmarkStart w:id="19" w:name="_Toc197450108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7 - Paiement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9"/>
      <w:bookmarkStart w:id="21" w:name="_Toc197450109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8 - Avance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E-3-A11"/>
      <w:bookmarkStart w:id="23" w:name="_Toc197450110"/>
      <w:bookmarkEnd w:id="2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9 - Nomenclature(s)</w:t>
      </w:r>
      <w:bookmarkEnd w:id="2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construction</w:t>
            </w: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4" w:name="ArtL1_AE-3-A14"/>
      <w:bookmarkStart w:id="25" w:name="_Toc197450111"/>
      <w:bookmarkEnd w:id="2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10 - Signature</w:t>
      </w:r>
      <w:bookmarkEnd w:id="2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rPr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ACCEPTATION DE L'OFFRE PAR LE POUVOIR ADJUDICATEUR</w:t>
      </w: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b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Pour la solution de base :</w:t>
      </w:r>
    </w:p>
    <w:p>
      <w:pPr>
        <w:rPr>
          <w:lang w:val="fr-FR"/>
        </w:rPr>
      </w:pPr>
    </w:p>
    <w:tbl>
      <w:tblPr>
        <w:tblW w:w="9837" w:type="dxa"/>
        <w:tblLayout w:type="fixed"/>
        <w:tblLook w:val="04A0" w:firstRow="1" w:lastRow="0" w:firstColumn="1" w:lastColumn="0" w:noHBand="0" w:noVBand="1"/>
      </w:tblPr>
      <w:tblGrid>
        <w:gridCol w:w="1036"/>
        <w:gridCol w:w="600"/>
        <w:gridCol w:w="4600"/>
        <w:gridCol w:w="1200"/>
        <w:gridCol w:w="1200"/>
        <w:gridCol w:w="1201"/>
      </w:tblGrid>
      <w:tr>
        <w:trPr>
          <w:trHeight w:val="292"/>
        </w:trPr>
        <w:tc>
          <w:tcPr>
            <w:tcW w:w="9837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de l'offre </w:t>
            </w:r>
          </w:p>
        </w:tc>
      </w:tr>
      <w:tr>
        <w:trPr>
          <w:trHeight w:val="454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Offre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TTC</w:t>
            </w:r>
          </w:p>
        </w:tc>
      </w:tr>
      <w:tr>
        <w:trPr>
          <w:trHeight w:val="346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4460" cy="12446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CLOS-COUVERTS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b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Pour les Tranches conditionnelle :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90"/>
        <w:gridCol w:w="1890"/>
        <w:gridCol w:w="1200"/>
        <w:gridCol w:w="1200"/>
        <w:gridCol w:w="1200"/>
        <w:gridCol w:w="312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de l'offre </w:t>
            </w:r>
          </w:p>
        </w:tc>
      </w:tr>
      <w:tr>
        <w:trPr>
          <w:trHeight w:val="454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Tranches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Soit en toutes lettres TTC</w:t>
            </w:r>
          </w:p>
        </w:tc>
      </w:tr>
      <w:tr>
        <w:trPr>
          <w:trHeight w:val="346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TC1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Châssis type 9 plombé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400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TC2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6"/>
                <w:szCs w:val="26"/>
                <w:lang w:val="fr-FR"/>
              </w:rPr>
              <w:t>Châssis type 10 plombé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400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TC3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6"/>
                <w:szCs w:val="26"/>
                <w:lang w:val="fr-FR"/>
              </w:rPr>
              <w:t>Châssis type 11 plombé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  <w:sectPr>
          <w:footerReference w:type="default" r:id="rId10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et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devant être exécutée par : . . . .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en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qualité de :</w:t>
      </w:r>
    </w:p>
    <w:p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 d'un groupement d'entreprise</w:t>
            </w:r>
          </w:p>
          <w:p>
            <w:pPr>
              <w:rPr>
                <w:lang w:val="fr-FR"/>
              </w:rPr>
            </w:pP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Sous-traitant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11"/>
          <w:pgSz w:w="11900" w:h="16840"/>
          <w:pgMar w:top="820" w:right="1140" w:bottom="580" w:left="1140" w:header="820" w:footer="58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6" w:name="ArtL1_A-CT"/>
      <w:bookmarkStart w:id="27" w:name="_Toc197450112"/>
      <w:bookmarkEnd w:id="2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1 : DÉSIGNATION DES CO-TRAITANTS ET RÉPARTITION DES PRESTATIONS</w:t>
      </w:r>
      <w:bookmarkEnd w:id="27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</w:pPr>
    </w:p>
    <w:sectPr>
      <w:footerReference w:type="default" r:id="rId12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AE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AE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AE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AE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AE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6EEC01-C5EE-4FE2-87BC-3410EF01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1745</Words>
  <Characters>9163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2</cp:revision>
  <dcterms:created xsi:type="dcterms:W3CDTF">2026-02-10T15:36:00Z</dcterms:created>
  <dcterms:modified xsi:type="dcterms:W3CDTF">2026-02-10T15:36:00Z</dcterms:modified>
</cp:coreProperties>
</file>